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15B" w:rsidRDefault="007C1B45" w:rsidP="004511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it-IT"/>
        </w:rPr>
        <w:t>Sul vincolo di eccezionale interesse</w:t>
      </w:r>
      <w:r w:rsidR="009109C4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it-IT"/>
        </w:rPr>
        <w:t xml:space="preserve">, di cui all’art. 10, comma 3, </w:t>
      </w: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it-IT"/>
        </w:rPr>
        <w:t>lettera d-</w:t>
      </w:r>
      <w:r w:rsidRPr="007C1B45"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  <w:lang w:eastAsia="it-IT"/>
        </w:rPr>
        <w:t>bis</w:t>
      </w:r>
      <w:r w:rsidR="009109C4"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  <w:lang w:eastAsia="it-IT"/>
        </w:rPr>
        <w:t xml:space="preserve">), </w:t>
      </w:r>
      <w:r w:rsidR="009109C4" w:rsidRPr="009109C4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it-IT"/>
        </w:rPr>
        <w:t xml:space="preserve">del Codice dei beni culturali, </w:t>
      </w:r>
      <w:r w:rsidRPr="009109C4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it-IT"/>
        </w:rPr>
        <w:t>in sede d</w:t>
      </w: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it-IT"/>
        </w:rPr>
        <w:t>i esportazione</w:t>
      </w:r>
    </w:p>
    <w:p w:rsidR="007C1B45" w:rsidRPr="00A44C77" w:rsidRDefault="007C1B45" w:rsidP="004511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055"/>
        <w:gridCol w:w="3111"/>
      </w:tblGrid>
      <w:tr w:rsidR="0045115B" w:rsidRPr="00A44C77" w:rsidTr="00CE1E31">
        <w:tc>
          <w:tcPr>
            <w:tcW w:w="2405" w:type="dxa"/>
          </w:tcPr>
          <w:p w:rsidR="0045115B" w:rsidRPr="00A44C77" w:rsidRDefault="0045115B" w:rsidP="00CE1E31">
            <w:pP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it-IT"/>
              </w:rPr>
            </w:pPr>
            <w:r w:rsidRPr="00A44C7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it-IT"/>
              </w:rPr>
              <w:t xml:space="preserve">Materia </w:t>
            </w:r>
          </w:p>
        </w:tc>
        <w:tc>
          <w:tcPr>
            <w:tcW w:w="3111" w:type="dxa"/>
          </w:tcPr>
          <w:p w:rsidR="0045115B" w:rsidRPr="00A44C77" w:rsidRDefault="0045115B" w:rsidP="00CE1E3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it-IT"/>
              </w:rPr>
              <w:t>Circolazione opere d’arte</w:t>
            </w:r>
          </w:p>
        </w:tc>
      </w:tr>
      <w:tr w:rsidR="0045115B" w:rsidRPr="00A44C77" w:rsidTr="00CE1E31">
        <w:tc>
          <w:tcPr>
            <w:tcW w:w="2405" w:type="dxa"/>
          </w:tcPr>
          <w:p w:rsidR="0045115B" w:rsidRPr="00A44C77" w:rsidRDefault="0045115B" w:rsidP="00CE1E31">
            <w:pPr>
              <w:ind w:right="2864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it-IT"/>
              </w:rPr>
            </w:pPr>
            <w:r w:rsidRPr="00A44C7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it-IT"/>
              </w:rPr>
              <w:t xml:space="preserve">Sentenza </w:t>
            </w:r>
          </w:p>
        </w:tc>
        <w:tc>
          <w:tcPr>
            <w:tcW w:w="3111" w:type="dxa"/>
          </w:tcPr>
          <w:p w:rsidR="0045115B" w:rsidRPr="00A44C77" w:rsidRDefault="001D1AAA" w:rsidP="0045115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it-IT"/>
              </w:rPr>
              <w:t>Sentenza Corte Costituzionale 160/2025</w:t>
            </w:r>
          </w:p>
        </w:tc>
      </w:tr>
    </w:tbl>
    <w:p w:rsidR="0045115B" w:rsidRPr="00A44C77" w:rsidRDefault="0045115B" w:rsidP="004511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it-IT"/>
        </w:rPr>
      </w:pPr>
    </w:p>
    <w:p w:rsidR="001D1AAA" w:rsidRPr="009109C4" w:rsidRDefault="001D1AAA" w:rsidP="006C2609">
      <w:pPr>
        <w:spacing w:after="0" w:line="240" w:lineRule="auto"/>
        <w:jc w:val="both"/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it-IT"/>
        </w:rPr>
      </w:pPr>
      <w:r w:rsidRPr="009109C4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it-IT"/>
        </w:rPr>
        <w:t>Esportazione – Regime semplificato – Apposizione del vincolo</w:t>
      </w:r>
      <w:r w:rsidRPr="009109C4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 </w:t>
      </w:r>
      <w:r w:rsidR="009109C4" w:rsidRPr="009109C4">
        <w:rPr>
          <w:rFonts w:ascii="Times New Roman" w:eastAsia="Times New Roman" w:hAnsi="Times New Roman" w:cs="Times New Roman"/>
          <w:smallCaps/>
          <w:color w:val="242424"/>
          <w:sz w:val="28"/>
          <w:szCs w:val="28"/>
          <w:lang w:eastAsia="it-IT"/>
        </w:rPr>
        <w:t>eccezionale</w:t>
      </w:r>
      <w:r w:rsidR="006C2609">
        <w:rPr>
          <w:rFonts w:ascii="Times New Roman" w:eastAsia="Times New Roman" w:hAnsi="Times New Roman" w:cs="Times New Roman"/>
          <w:smallCaps/>
          <w:color w:val="242424"/>
          <w:sz w:val="28"/>
          <w:szCs w:val="28"/>
          <w:lang w:eastAsia="it-IT"/>
        </w:rPr>
        <w:t xml:space="preserve"> </w:t>
      </w:r>
      <w:r w:rsidRPr="009109C4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it-IT"/>
        </w:rPr>
        <w:t>– beni di completamento - Legittimità costituzionale</w:t>
      </w:r>
    </w:p>
    <w:p w:rsidR="001D1AAA" w:rsidRDefault="001D1AAA" w:rsidP="0045115B">
      <w:pPr>
        <w:spacing w:after="0" w:line="240" w:lineRule="auto"/>
        <w:jc w:val="both"/>
        <w:rPr>
          <w:rFonts w:ascii="Times New Roman" w:eastAsia="Times New Roman" w:hAnsi="Times New Roman" w:cs="Times New Roman"/>
          <w:smallCaps/>
          <w:color w:val="000000"/>
          <w:sz w:val="27"/>
          <w:szCs w:val="27"/>
          <w:lang w:eastAsia="it-IT"/>
        </w:rPr>
      </w:pPr>
    </w:p>
    <w:p w:rsidR="006B7824" w:rsidRPr="00156641" w:rsidRDefault="006B7824" w:rsidP="001D1AA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</w:pP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La sentenza della Corte Costituzionale n. 160 del 31 ottobre 2025 ha dichiarato non fondate le questioni di legittimità costituzionale dell'art. 65, comma 4-</w:t>
      </w:r>
      <w:r w:rsidRPr="00156641">
        <w:rPr>
          <w:rFonts w:ascii="Times New Roman" w:eastAsia="Times New Roman" w:hAnsi="Times New Roman" w:cs="Times New Roman"/>
          <w:i/>
          <w:color w:val="242424"/>
          <w:sz w:val="28"/>
          <w:szCs w:val="28"/>
          <w:lang w:eastAsia="it-IT"/>
        </w:rPr>
        <w:t>bis</w:t>
      </w: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, del Codice dei beni culturali. </w:t>
      </w:r>
    </w:p>
    <w:p w:rsidR="006B7824" w:rsidRPr="00156641" w:rsidRDefault="006B7824" w:rsidP="001D1AA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</w:pP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La questione era stata sollevata dal Consiglio di Stato, che dubitava che il vincolo potesse essere imposto in sede di esportazione solo per "interesse eccezionale" (art. 10, c. 3, </w:t>
      </w:r>
      <w:proofErr w:type="spellStart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lett</w:t>
      </w:r>
      <w:proofErr w:type="spellEnd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. d-</w:t>
      </w:r>
      <w:r w:rsidRPr="00156641">
        <w:rPr>
          <w:rFonts w:ascii="Times New Roman" w:eastAsia="Times New Roman" w:hAnsi="Times New Roman" w:cs="Times New Roman"/>
          <w:i/>
          <w:color w:val="242424"/>
          <w:sz w:val="28"/>
          <w:szCs w:val="28"/>
          <w:lang w:eastAsia="it-IT"/>
        </w:rPr>
        <w:t>bis</w:t>
      </w: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) e non per la "particolare importanza" dei beni, restringendo troppo la tutela.</w:t>
      </w:r>
    </w:p>
    <w:p w:rsidR="006B7824" w:rsidRPr="00156641" w:rsidRDefault="006B7824" w:rsidP="001D1AA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</w:pP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La norma, che disciplina la dichiarazione di interesse culturale su beni oggetto di autocertificazione in sede di esportazione, è stata ritenuta dalla Corte coerente con la tutela del patrimonio.</w:t>
      </w:r>
    </w:p>
    <w:p w:rsidR="00156641" w:rsidRDefault="006B7824" w:rsidP="001D1AA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</w:pP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Secondo la Corte l</w:t>
      </w:r>
      <w:r w:rsidR="001D1AAA"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’art. 65, comma 4-</w:t>
      </w:r>
      <w:r w:rsidR="001D1AAA" w:rsidRPr="00156641">
        <w:rPr>
          <w:rFonts w:ascii="Times New Roman" w:eastAsia="Times New Roman" w:hAnsi="Times New Roman" w:cs="Times New Roman"/>
          <w:i/>
          <w:color w:val="242424"/>
          <w:sz w:val="28"/>
          <w:szCs w:val="28"/>
          <w:lang w:eastAsia="it-IT"/>
        </w:rPr>
        <w:t>bis</w:t>
      </w:r>
      <w:r w:rsidR="001D1AAA"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, secondo periodo, del d.lgs. n. 42/2004 non limita il potere dell’amministrazione di dichiarare, in sede di esportazione, l’interesse culturale ai soli beni di eccezionale interesse ai sensi dell’art. 10, comma 3, </w:t>
      </w:r>
      <w:proofErr w:type="spellStart"/>
      <w:r w:rsidR="001D1AAA"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lett</w:t>
      </w:r>
      <w:proofErr w:type="spellEnd"/>
      <w:r w:rsidR="001D1AAA"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. d-</w:t>
      </w:r>
      <w:r w:rsidR="001D1AAA" w:rsidRPr="00156641">
        <w:rPr>
          <w:rFonts w:ascii="Times New Roman" w:eastAsia="Times New Roman" w:hAnsi="Times New Roman" w:cs="Times New Roman"/>
          <w:i/>
          <w:color w:val="242424"/>
          <w:sz w:val="28"/>
          <w:szCs w:val="28"/>
          <w:lang w:eastAsia="it-IT"/>
        </w:rPr>
        <w:t>bis</w:t>
      </w:r>
      <w:r w:rsidR="001D1AAA"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, ma introduce regole procedimentali applicabili anche in tale ipotesi, giustificate dalla peculiarità dei c.d. “beni di completamento”. </w:t>
      </w:r>
    </w:p>
    <w:p w:rsidR="00156641" w:rsidRDefault="001D1AAA" w:rsidP="001D1AA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</w:pP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L’art. 65, comma 4-</w:t>
      </w:r>
      <w:r w:rsidRPr="00156641">
        <w:rPr>
          <w:rFonts w:ascii="Times New Roman" w:eastAsia="Times New Roman" w:hAnsi="Times New Roman" w:cs="Times New Roman"/>
          <w:i/>
          <w:color w:val="242424"/>
          <w:sz w:val="28"/>
          <w:szCs w:val="28"/>
          <w:lang w:eastAsia="it-IT"/>
        </w:rPr>
        <w:t>bis</w:t>
      </w: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, secondo periodo, del d.lgs. n. 42 del 2004 ha natura </w:t>
      </w:r>
      <w:r w:rsidRPr="00156641">
        <w:rPr>
          <w:rFonts w:ascii="Times New Roman" w:eastAsia="Times New Roman" w:hAnsi="Times New Roman" w:cs="Times New Roman"/>
          <w:bCs/>
          <w:color w:val="242424"/>
          <w:sz w:val="28"/>
          <w:szCs w:val="28"/>
          <w:lang w:eastAsia="it-IT"/>
        </w:rPr>
        <w:t>procedimentale e non limitativa</w:t>
      </w: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 del potere di apposizione del vincolo culturale: anche nell’ambito dell’esportazione semplificata di beni, l’amministrazione può avviare e concludere il procedimento di dichiarazione dell’interesse culturale </w:t>
      </w:r>
      <w:r w:rsidRPr="00156641">
        <w:rPr>
          <w:rFonts w:ascii="Times New Roman" w:eastAsia="Times New Roman" w:hAnsi="Times New Roman" w:cs="Times New Roman"/>
          <w:bCs/>
          <w:color w:val="242424"/>
          <w:sz w:val="28"/>
          <w:szCs w:val="28"/>
          <w:lang w:eastAsia="it-IT"/>
        </w:rPr>
        <w:t>per tutte le fattispecie di cui all’art. 10, comma 3</w:t>
      </w: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, e non solo per quelle di interesse “eccezionale” </w:t>
      </w:r>
      <w:r w:rsidRPr="006C2609">
        <w:rPr>
          <w:rFonts w:ascii="Times New Roman" w:eastAsia="Times New Roman" w:hAnsi="Times New Roman" w:cs="Times New Roman"/>
          <w:i/>
          <w:color w:val="242424"/>
          <w:sz w:val="28"/>
          <w:szCs w:val="28"/>
          <w:lang w:eastAsia="it-IT"/>
        </w:rPr>
        <w:t>ex</w:t>
      </w: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 </w:t>
      </w:r>
      <w:proofErr w:type="spellStart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lett</w:t>
      </w:r>
      <w:proofErr w:type="spellEnd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. d-</w:t>
      </w:r>
      <w:r w:rsidRPr="00156641">
        <w:rPr>
          <w:rFonts w:ascii="Times New Roman" w:eastAsia="Times New Roman" w:hAnsi="Times New Roman" w:cs="Times New Roman"/>
          <w:i/>
          <w:color w:val="242424"/>
          <w:sz w:val="28"/>
          <w:szCs w:val="28"/>
          <w:lang w:eastAsia="it-IT"/>
        </w:rPr>
        <w:t>bis</w:t>
      </w: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). </w:t>
      </w:r>
    </w:p>
    <w:p w:rsidR="001D1AAA" w:rsidRPr="00156641" w:rsidRDefault="001D1AAA" w:rsidP="001D1AA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</w:pP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La disposizione si limita a disciplinare competenza e termini procedimentali, risultando conforme agli artt. 3 e 9, secondo comma, </w:t>
      </w:r>
      <w:proofErr w:type="spellStart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Cost</w:t>
      </w:r>
      <w:proofErr w:type="spellEnd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. Il sistema delineato dal Codice dei beni culturali è coerente e armonico nel collegare la disciplina dell’esportazione dei beni di rilievo culturale a quella della dichiarazione dell’interesse culturale, poiché il divieto di uscita dal territorio nazionale discende esclusivamente dalla qualificazione del bene come culturale</w:t>
      </w:r>
      <w:r w:rsidR="00B06E67"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 (carattere intrinseco della culturalità del bene)</w:t>
      </w: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. </w:t>
      </w:r>
    </w:p>
    <w:p w:rsidR="006B7824" w:rsidRPr="00156641" w:rsidRDefault="00156641" w:rsidP="001566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</w:pP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La Corte chiarisce che l’ipotesi contemplata dalla lettera d-</w:t>
      </w:r>
      <w:r w:rsidRPr="006C2609">
        <w:rPr>
          <w:rFonts w:ascii="Times New Roman" w:eastAsia="Times New Roman" w:hAnsi="Times New Roman" w:cs="Times New Roman"/>
          <w:i/>
          <w:color w:val="242424"/>
          <w:sz w:val="28"/>
          <w:szCs w:val="28"/>
          <w:lang w:eastAsia="it-IT"/>
        </w:rPr>
        <w:t>bis</w:t>
      </w: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), introdotta dalla riforma del 2017, conc</w:t>
      </w:r>
      <w:bookmarkStart w:id="0" w:name="_GoBack"/>
      <w:bookmarkEnd w:id="0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erne le cose che, pur essendo prive di un interesse culturale intrinseco autonomo, o “</w:t>
      </w:r>
      <w:proofErr w:type="spellStart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autoevidente</w:t>
      </w:r>
      <w:proofErr w:type="spellEnd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”, rivestono un interesse eccezionale “estrinseco”, per l'integrità e la completezza del patrimonio culturale della Nazione. Si tratta, in sostanza, di beni "di completamento", la cui rilevanza si apprezza in una dimensione sistematica e relazionale rispetto al patrimonio nel suo insieme.</w:t>
      </w:r>
    </w:p>
    <w:p w:rsidR="006B7824" w:rsidRPr="00156641" w:rsidRDefault="006B7824" w:rsidP="001D1A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</w:pPr>
    </w:p>
    <w:p w:rsidR="0045115B" w:rsidRPr="00156641" w:rsidRDefault="001D1AAA" w:rsidP="001D1A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</w:pPr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(Corte </w:t>
      </w:r>
      <w:proofErr w:type="spellStart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cost</w:t>
      </w:r>
      <w:proofErr w:type="spellEnd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 xml:space="preserve">., </w:t>
      </w:r>
      <w:proofErr w:type="spellStart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sent</w:t>
      </w:r>
      <w:proofErr w:type="spellEnd"/>
      <w:r w:rsidRPr="00156641">
        <w:rPr>
          <w:rFonts w:ascii="Times New Roman" w:eastAsia="Times New Roman" w:hAnsi="Times New Roman" w:cs="Times New Roman"/>
          <w:color w:val="242424"/>
          <w:sz w:val="28"/>
          <w:szCs w:val="28"/>
          <w:lang w:eastAsia="it-IT"/>
        </w:rPr>
        <w:t>. n. 160 del 31 ottobre 2025)</w:t>
      </w:r>
    </w:p>
    <w:p w:rsidR="0045115B" w:rsidRDefault="0045115B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it-IT"/>
        </w:rPr>
      </w:pPr>
    </w:p>
    <w:p w:rsidR="0045115B" w:rsidRDefault="001D1AAA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it-IT"/>
        </w:rPr>
        <w:t xml:space="preserve">Massima a cura di: </w:t>
      </w:r>
      <w:r w:rsidR="00791D34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it-IT"/>
        </w:rPr>
        <w:t xml:space="preserve">DGABAP - </w:t>
      </w:r>
      <w:r w:rsidR="009109C4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it-IT"/>
        </w:rPr>
        <w:t xml:space="preserve">Servizio IV – Circolazione </w:t>
      </w:r>
    </w:p>
    <w:sectPr w:rsidR="0045115B" w:rsidSect="008A0EC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6022B"/>
    <w:multiLevelType w:val="singleLevel"/>
    <w:tmpl w:val="0D349CA2"/>
    <w:lvl w:ilvl="0">
      <w:start w:val="4"/>
      <w:numFmt w:val="upperRoman"/>
      <w:lvlText w:val="%1)"/>
      <w:lvlJc w:val="left"/>
      <w:pPr>
        <w:tabs>
          <w:tab w:val="num" w:pos="504"/>
        </w:tabs>
        <w:ind w:left="936" w:firstLine="72"/>
      </w:pPr>
      <w:rPr>
        <w:snapToGrid/>
        <w:spacing w:val="-7"/>
        <w:w w:val="105"/>
        <w:sz w:val="30"/>
        <w:szCs w:val="30"/>
      </w:rPr>
    </w:lvl>
  </w:abstractNum>
  <w:abstractNum w:abstractNumId="1" w15:restartNumberingAfterBreak="0">
    <w:nsid w:val="058CC882"/>
    <w:multiLevelType w:val="singleLevel"/>
    <w:tmpl w:val="069F607B"/>
    <w:lvl w:ilvl="0">
      <w:start w:val="1"/>
      <w:numFmt w:val="upperRoman"/>
      <w:lvlText w:val="%1)"/>
      <w:lvlJc w:val="left"/>
      <w:pPr>
        <w:tabs>
          <w:tab w:val="num" w:pos="360"/>
        </w:tabs>
        <w:ind w:left="936" w:firstLine="72"/>
      </w:pPr>
      <w:rPr>
        <w:snapToGrid/>
        <w:spacing w:val="-1"/>
        <w:w w:val="105"/>
        <w:sz w:val="30"/>
        <w:szCs w:val="30"/>
      </w:rPr>
    </w:lvl>
  </w:abstractNum>
  <w:num w:numId="1">
    <w:abstractNumId w:val="1"/>
  </w:num>
  <w:num w:numId="2">
    <w:abstractNumId w:val="1"/>
    <w:lvlOverride w:ilvl="0">
      <w:lvl w:ilvl="0">
        <w:numFmt w:val="upperRoman"/>
        <w:lvlText w:val="%1)"/>
        <w:lvlJc w:val="left"/>
        <w:pPr>
          <w:tabs>
            <w:tab w:val="num" w:pos="432"/>
          </w:tabs>
          <w:ind w:left="936" w:firstLine="72"/>
        </w:pPr>
        <w:rPr>
          <w:snapToGrid/>
          <w:spacing w:val="-1"/>
          <w:w w:val="105"/>
          <w:sz w:val="30"/>
          <w:szCs w:val="30"/>
        </w:rPr>
      </w:lvl>
    </w:lvlOverride>
  </w:num>
  <w:num w:numId="3">
    <w:abstractNumId w:val="1"/>
    <w:lvlOverride w:ilvl="0">
      <w:lvl w:ilvl="0">
        <w:numFmt w:val="upperRoman"/>
        <w:lvlText w:val="%1)"/>
        <w:lvlJc w:val="left"/>
        <w:pPr>
          <w:tabs>
            <w:tab w:val="num" w:pos="504"/>
          </w:tabs>
          <w:ind w:left="936" w:firstLine="72"/>
        </w:pPr>
        <w:rPr>
          <w:snapToGrid/>
          <w:spacing w:val="2"/>
          <w:w w:val="105"/>
          <w:sz w:val="30"/>
          <w:szCs w:val="30"/>
        </w:r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0D2"/>
    <w:rsid w:val="000F6361"/>
    <w:rsid w:val="00156641"/>
    <w:rsid w:val="001841B2"/>
    <w:rsid w:val="001A3E7E"/>
    <w:rsid w:val="001D1AAA"/>
    <w:rsid w:val="001E5899"/>
    <w:rsid w:val="0045115B"/>
    <w:rsid w:val="004A0D3B"/>
    <w:rsid w:val="006067DB"/>
    <w:rsid w:val="006B7824"/>
    <w:rsid w:val="006C2609"/>
    <w:rsid w:val="00791D34"/>
    <w:rsid w:val="007C1B45"/>
    <w:rsid w:val="008030D2"/>
    <w:rsid w:val="00895BE9"/>
    <w:rsid w:val="008A0EC7"/>
    <w:rsid w:val="009109C4"/>
    <w:rsid w:val="00917D05"/>
    <w:rsid w:val="009C3802"/>
    <w:rsid w:val="009C524A"/>
    <w:rsid w:val="00AF2E73"/>
    <w:rsid w:val="00B06E67"/>
    <w:rsid w:val="00B70DB0"/>
    <w:rsid w:val="00CB3076"/>
    <w:rsid w:val="00DF793B"/>
    <w:rsid w:val="00EE70E8"/>
    <w:rsid w:val="00F76420"/>
    <w:rsid w:val="00FE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20BCB"/>
  <w15:docId w15:val="{1FD76E69-6FF2-462B-9816-F5C767489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511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4">
    <w:name w:val="Style 4"/>
    <w:basedOn w:val="Normale"/>
    <w:uiPriority w:val="99"/>
    <w:rsid w:val="008A0EC7"/>
    <w:pPr>
      <w:widowControl w:val="0"/>
      <w:autoSpaceDE w:val="0"/>
      <w:autoSpaceDN w:val="0"/>
      <w:spacing w:before="144" w:after="0" w:line="432" w:lineRule="exact"/>
      <w:ind w:left="936" w:right="144"/>
    </w:pPr>
    <w:rPr>
      <w:rFonts w:ascii="Bookman Old Style" w:eastAsiaTheme="minorEastAsia" w:hAnsi="Bookman Old Style" w:cs="Bookman Old Style"/>
      <w:sz w:val="6"/>
      <w:szCs w:val="6"/>
      <w:lang w:eastAsia="it-IT"/>
    </w:rPr>
  </w:style>
  <w:style w:type="paragraph" w:customStyle="1" w:styleId="Style2">
    <w:name w:val="Style 2"/>
    <w:basedOn w:val="Normale"/>
    <w:uiPriority w:val="99"/>
    <w:rsid w:val="008A0EC7"/>
    <w:pPr>
      <w:widowControl w:val="0"/>
      <w:autoSpaceDE w:val="0"/>
      <w:autoSpaceDN w:val="0"/>
      <w:spacing w:before="144" w:after="0" w:line="456" w:lineRule="exact"/>
      <w:ind w:left="936" w:right="72"/>
      <w:jc w:val="both"/>
    </w:pPr>
    <w:rPr>
      <w:rFonts w:ascii="Bookman Old Style" w:eastAsiaTheme="minorEastAsia" w:hAnsi="Bookman Old Style" w:cs="Bookman Old Style"/>
      <w:sz w:val="6"/>
      <w:szCs w:val="6"/>
      <w:lang w:eastAsia="it-IT"/>
    </w:rPr>
  </w:style>
  <w:style w:type="paragraph" w:customStyle="1" w:styleId="Style3">
    <w:name w:val="Style 3"/>
    <w:basedOn w:val="Normale"/>
    <w:uiPriority w:val="99"/>
    <w:rsid w:val="008A0EC7"/>
    <w:pPr>
      <w:widowControl w:val="0"/>
      <w:autoSpaceDE w:val="0"/>
      <w:autoSpaceDN w:val="0"/>
      <w:spacing w:before="144" w:after="0" w:line="360" w:lineRule="exact"/>
      <w:ind w:left="936"/>
    </w:pPr>
    <w:rPr>
      <w:rFonts w:ascii="Bookman Old Style" w:eastAsiaTheme="minorEastAsia" w:hAnsi="Bookman Old Style" w:cs="Bookman Old Style"/>
      <w:sz w:val="6"/>
      <w:szCs w:val="6"/>
      <w:lang w:eastAsia="it-IT"/>
    </w:rPr>
  </w:style>
  <w:style w:type="paragraph" w:customStyle="1" w:styleId="Style1">
    <w:name w:val="Style 1"/>
    <w:basedOn w:val="Normale"/>
    <w:uiPriority w:val="99"/>
    <w:rsid w:val="008A0EC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it-IT"/>
    </w:rPr>
  </w:style>
  <w:style w:type="character" w:customStyle="1" w:styleId="CharacterStyle2">
    <w:name w:val="Character Style 2"/>
    <w:uiPriority w:val="99"/>
    <w:rsid w:val="008A0EC7"/>
    <w:rPr>
      <w:rFonts w:ascii="Bookman Old Style" w:hAnsi="Bookman Old Style" w:cs="Bookman Old Style"/>
      <w:sz w:val="6"/>
      <w:szCs w:val="6"/>
    </w:rPr>
  </w:style>
  <w:style w:type="character" w:customStyle="1" w:styleId="CharacterStyle1">
    <w:name w:val="Character Style 1"/>
    <w:uiPriority w:val="99"/>
    <w:rsid w:val="008A0EC7"/>
    <w:rPr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0F6361"/>
    <w:rPr>
      <w:color w:val="0563C1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1D1A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79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C8B0B-8853-4869-999A-41D8BC65B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Bisaglia</dc:creator>
  <cp:keywords/>
  <dc:description/>
  <cp:lastModifiedBy>Stefania Bisaglia</cp:lastModifiedBy>
  <cp:revision>6</cp:revision>
  <dcterms:created xsi:type="dcterms:W3CDTF">2026-01-23T11:55:00Z</dcterms:created>
  <dcterms:modified xsi:type="dcterms:W3CDTF">2026-01-28T14:22:00Z</dcterms:modified>
</cp:coreProperties>
</file>